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3DED8" w14:textId="77777777" w:rsidR="003166DE" w:rsidRDefault="003166DE">
      <w:pPr>
        <w:rPr>
          <w:lang w:val="en-US"/>
        </w:rPr>
      </w:pPr>
    </w:p>
    <w:p w14:paraId="375DC279" w14:textId="77777777" w:rsidR="003166DE" w:rsidRDefault="003166DE">
      <w:pPr>
        <w:rPr>
          <w:lang w:val="en-US"/>
        </w:rPr>
      </w:pPr>
    </w:p>
    <w:p w14:paraId="7E211DCB" w14:textId="2818347B" w:rsidR="003166DE" w:rsidRDefault="00572AB4">
      <w:pPr>
        <w:rPr>
          <w:lang w:val="en-US"/>
        </w:rPr>
      </w:pPr>
      <w:r>
        <w:rPr>
          <w:noProof/>
        </w:rPr>
        <w:drawing>
          <wp:inline distT="0" distB="0" distL="0" distR="0" wp14:anchorId="43A20B54" wp14:editId="3A997BA5">
            <wp:extent cx="1428750" cy="533400"/>
            <wp:effectExtent l="0" t="0" r="0" b="0"/>
            <wp:docPr id="1" name="Bild 1" descr="Multibra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ibracket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0" cy="533400"/>
                    </a:xfrm>
                    <a:prstGeom prst="rect">
                      <a:avLst/>
                    </a:prstGeom>
                    <a:noFill/>
                    <a:ln>
                      <a:noFill/>
                    </a:ln>
                  </pic:spPr>
                </pic:pic>
              </a:graphicData>
            </a:graphic>
          </wp:inline>
        </w:drawing>
      </w:r>
    </w:p>
    <w:p w14:paraId="64A53AE4" w14:textId="684C8E09" w:rsidR="003166DE" w:rsidRDefault="003166DE" w:rsidP="003166DE">
      <w:pPr>
        <w:ind w:left="2608"/>
        <w:rPr>
          <w:b/>
          <w:bCs/>
          <w:sz w:val="28"/>
          <w:szCs w:val="28"/>
          <w:lang w:val="en-US"/>
        </w:rPr>
      </w:pPr>
      <w:r>
        <w:rPr>
          <w:b/>
          <w:bCs/>
          <w:sz w:val="28"/>
          <w:szCs w:val="28"/>
          <w:lang w:val="en-US"/>
        </w:rPr>
        <w:t xml:space="preserve">             </w:t>
      </w:r>
      <w:r w:rsidR="00572AB4">
        <w:rPr>
          <w:b/>
          <w:bCs/>
          <w:sz w:val="28"/>
          <w:szCs w:val="28"/>
          <w:lang w:val="en-US"/>
        </w:rPr>
        <w:br/>
        <w:t xml:space="preserve">            </w:t>
      </w:r>
      <w:r w:rsidRPr="003166DE">
        <w:rPr>
          <w:b/>
          <w:bCs/>
          <w:sz w:val="28"/>
          <w:szCs w:val="28"/>
          <w:lang w:val="en-US"/>
        </w:rPr>
        <w:t xml:space="preserve">REACH (SVHC) </w:t>
      </w:r>
    </w:p>
    <w:p w14:paraId="3E3D59B4" w14:textId="1E0659A0" w:rsidR="003166DE" w:rsidRDefault="003166DE">
      <w:pPr>
        <w:rPr>
          <w:lang w:val="en-US"/>
        </w:rPr>
      </w:pPr>
      <w:r>
        <w:rPr>
          <w:lang w:val="en-US"/>
        </w:rPr>
        <w:br/>
      </w:r>
      <w:r w:rsidR="00572AB4">
        <w:rPr>
          <w:lang w:val="en-US"/>
        </w:rPr>
        <w:t>Stockholm 2021-12-01</w:t>
      </w:r>
      <w:r w:rsidR="00572AB4">
        <w:rPr>
          <w:lang w:val="en-US"/>
        </w:rPr>
        <w:br/>
      </w:r>
      <w:r w:rsidR="00572AB4">
        <w:rPr>
          <w:lang w:val="en-US"/>
        </w:rPr>
        <w:br/>
      </w:r>
      <w:r w:rsidR="00572AB4">
        <w:rPr>
          <w:lang w:val="en-US"/>
        </w:rPr>
        <w:br/>
      </w:r>
      <w:r>
        <w:rPr>
          <w:lang w:val="en-US"/>
        </w:rPr>
        <w:t>REACH (SVHC)</w:t>
      </w:r>
      <w:r>
        <w:rPr>
          <w:lang w:val="en-US"/>
        </w:rPr>
        <w:br/>
        <w:t>Multibrackets Europe</w:t>
      </w:r>
      <w:r w:rsidRPr="003166DE">
        <w:rPr>
          <w:lang w:val="en-US"/>
        </w:rPr>
        <w:t xml:space="preserve"> ensures that all material used for production of products to </w:t>
      </w:r>
      <w:r>
        <w:rPr>
          <w:lang w:val="en-US"/>
        </w:rPr>
        <w:t>Multibrackets Europe</w:t>
      </w:r>
      <w:r w:rsidRPr="003166DE">
        <w:rPr>
          <w:lang w:val="en-US"/>
        </w:rPr>
        <w:t xml:space="preserve"> and its customers are safe and conform to European legislation, namely Regulation (EC) 1907/2006 of the European Parliament. </w:t>
      </w:r>
      <w:r>
        <w:rPr>
          <w:lang w:val="en-US"/>
        </w:rPr>
        <w:br/>
      </w:r>
      <w:r>
        <w:rPr>
          <w:lang w:val="en-US"/>
        </w:rPr>
        <w:br/>
        <w:t>Multibrackets Europe</w:t>
      </w:r>
      <w:r w:rsidRPr="003166DE">
        <w:rPr>
          <w:lang w:val="en-US"/>
        </w:rPr>
        <w:t xml:space="preserve"> production partners are required to provide documentation stating that any material used for production do not contain more than the allowed limits for any of the materials listed as Substances of Very High Concern (SVHC) by the European Chemicals Agency (ECHA). The SVHC list relates to the European Union’s regulation for Registration, Evaluation, Authorization, and Restriction of Chemicals, also known as REACH. </w:t>
      </w:r>
    </w:p>
    <w:p w14:paraId="70C51C5B" w14:textId="09C6F49D" w:rsidR="003166DE" w:rsidRDefault="003166DE">
      <w:pPr>
        <w:rPr>
          <w:lang w:val="en-US"/>
        </w:rPr>
      </w:pPr>
      <w:r>
        <w:rPr>
          <w:lang w:val="en-US"/>
        </w:rPr>
        <w:t>Multibrackets Europe</w:t>
      </w:r>
      <w:r w:rsidRPr="003166DE">
        <w:rPr>
          <w:lang w:val="en-US"/>
        </w:rPr>
        <w:t xml:space="preserve"> takes responsibility to inform if any of the materials they intend to use for production do not comply with the allowed limits of the Substances of Very High Concern. </w:t>
      </w:r>
    </w:p>
    <w:p w14:paraId="65042144" w14:textId="5C0F1DD1" w:rsidR="003166DE" w:rsidRDefault="003166DE">
      <w:pPr>
        <w:rPr>
          <w:lang w:val="en-US"/>
        </w:rPr>
      </w:pPr>
      <w:r w:rsidRPr="003166DE">
        <w:rPr>
          <w:lang w:val="en-US"/>
        </w:rPr>
        <w:t xml:space="preserve">The list of Substances of Very High Concern can be found at the following link: </w:t>
      </w:r>
      <w:hyperlink r:id="rId5" w:history="1">
        <w:r w:rsidRPr="0037388D">
          <w:rPr>
            <w:rStyle w:val="Hyperlink"/>
            <w:lang w:val="en-US"/>
          </w:rPr>
          <w:t>http://echa.europa.eu/chem_data/authorisation_process/candidate_list_table_en.asp</w:t>
        </w:r>
      </w:hyperlink>
      <w:r w:rsidRPr="003166DE">
        <w:rPr>
          <w:lang w:val="en-US"/>
        </w:rPr>
        <w:t xml:space="preserve"> </w:t>
      </w:r>
    </w:p>
    <w:p w14:paraId="5890DB43" w14:textId="06E39CD4" w:rsidR="003166DE" w:rsidRDefault="003166DE">
      <w:pPr>
        <w:rPr>
          <w:lang w:val="en-US"/>
        </w:rPr>
      </w:pPr>
      <w:r w:rsidRPr="003166DE">
        <w:rPr>
          <w:lang w:val="en-US"/>
        </w:rPr>
        <w:t xml:space="preserve">The allowed limits of Substances of Very High Concern and the supplier’s responsibility to inform their customers about the use of those substances are described in article 33 in the document at the below link (normally the limit is 0.1 % weight by weight): </w:t>
      </w:r>
      <w:hyperlink r:id="rId6" w:history="1">
        <w:r w:rsidRPr="0037388D">
          <w:rPr>
            <w:rStyle w:val="Hyperlink"/>
            <w:lang w:val="en-US"/>
          </w:rPr>
          <w:t>http://eurlex.europa.eu/LexUriServ/LexUriServ.do?uri=CONSLEG:2006R1907:20090627:EN:PDF</w:t>
        </w:r>
      </w:hyperlink>
      <w:r w:rsidRPr="003166DE">
        <w:rPr>
          <w:lang w:val="en-US"/>
        </w:rPr>
        <w:t xml:space="preserve"> </w:t>
      </w:r>
    </w:p>
    <w:p w14:paraId="206EB952" w14:textId="4A66E18E" w:rsidR="003166DE" w:rsidRDefault="003166DE">
      <w:pPr>
        <w:rPr>
          <w:lang w:val="en-US"/>
        </w:rPr>
      </w:pPr>
      <w:r w:rsidRPr="003166DE">
        <w:rPr>
          <w:lang w:val="en-US"/>
        </w:rPr>
        <w:t xml:space="preserve">More information about REACH can be found at the following link: </w:t>
      </w:r>
      <w:hyperlink r:id="rId7" w:history="1">
        <w:r w:rsidRPr="0037388D">
          <w:rPr>
            <w:rStyle w:val="Hyperlink"/>
            <w:lang w:val="en-US"/>
          </w:rPr>
          <w:t>http://guidance.echa.europa.eu/about_reach_en.htm</w:t>
        </w:r>
      </w:hyperlink>
      <w:r w:rsidRPr="003166DE">
        <w:rPr>
          <w:lang w:val="en-US"/>
        </w:rPr>
        <w:t xml:space="preserve"> </w:t>
      </w:r>
    </w:p>
    <w:p w14:paraId="15874C7D" w14:textId="1F00F8E2" w:rsidR="003166DE" w:rsidRDefault="00572AB4">
      <w:pPr>
        <w:rPr>
          <w:lang w:val="en-US"/>
        </w:rPr>
      </w:pPr>
      <w:r>
        <w:rPr>
          <w:lang w:val="en-US"/>
        </w:rPr>
        <w:br/>
      </w:r>
    </w:p>
    <w:p w14:paraId="090D4079" w14:textId="134FCD82" w:rsidR="003B51A7" w:rsidRPr="003166DE" w:rsidRDefault="003166DE">
      <w:pPr>
        <w:rPr>
          <w:lang w:val="en-US"/>
        </w:rPr>
      </w:pPr>
      <w:r w:rsidRPr="003166DE">
        <w:rPr>
          <w:lang w:val="en-US"/>
        </w:rPr>
        <w:t>Kind regards</w:t>
      </w:r>
      <w:r w:rsidR="00572AB4">
        <w:rPr>
          <w:lang w:val="en-US"/>
        </w:rPr>
        <w:t>,</w:t>
      </w:r>
      <w:r>
        <w:rPr>
          <w:lang w:val="en-US"/>
        </w:rPr>
        <w:br/>
      </w:r>
      <w:r>
        <w:rPr>
          <w:lang w:val="en-US"/>
        </w:rPr>
        <w:br/>
      </w:r>
      <w:r w:rsidRPr="003166DE">
        <w:rPr>
          <w:lang w:val="en-US"/>
        </w:rPr>
        <w:t xml:space="preserve">Key Account Sales </w:t>
      </w:r>
      <w:r>
        <w:rPr>
          <w:lang w:val="en-US"/>
        </w:rPr>
        <w:t>Multibrackets Europe AB</w:t>
      </w:r>
    </w:p>
    <w:sectPr w:rsidR="003B51A7" w:rsidRPr="003166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DE"/>
    <w:rsid w:val="003166DE"/>
    <w:rsid w:val="003B51A7"/>
    <w:rsid w:val="0050742C"/>
    <w:rsid w:val="00572AB4"/>
    <w:rsid w:val="00651EDE"/>
    <w:rsid w:val="009646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2178"/>
  <w15:chartTrackingRefBased/>
  <w15:docId w15:val="{C02227F8-2187-46EC-BDA3-E3C3F865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66DE"/>
    <w:rPr>
      <w:color w:val="0563C1" w:themeColor="hyperlink"/>
      <w:u w:val="single"/>
    </w:rPr>
  </w:style>
  <w:style w:type="character" w:styleId="UnresolvedMention">
    <w:name w:val="Unresolved Mention"/>
    <w:basedOn w:val="DefaultParagraphFont"/>
    <w:uiPriority w:val="99"/>
    <w:semiHidden/>
    <w:unhideWhenUsed/>
    <w:rsid w:val="00316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guidance.echa.europa.eu/about_reach_en.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LexUriServ/LexUriServ.do?uri=CONSLEG:2006R1907:20090627:EN:PDF" TargetMode="External"/><Relationship Id="rId5" Type="http://schemas.openxmlformats.org/officeDocument/2006/relationships/hyperlink" Target="http://echa.europa.eu/chem_data/authorisation_process/candidate_list_table_en.asp"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281</Words>
  <Characters>1605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Persson</dc:creator>
  <cp:keywords/>
  <dc:description/>
  <cp:lastModifiedBy>Alex Persson</cp:lastModifiedBy>
  <cp:revision>2</cp:revision>
  <cp:lastPrinted>2023-02-07T11:25:00Z</cp:lastPrinted>
  <dcterms:created xsi:type="dcterms:W3CDTF">2023-02-07T20:55:00Z</dcterms:created>
  <dcterms:modified xsi:type="dcterms:W3CDTF">2023-02-07T20:55:00Z</dcterms:modified>
</cp:coreProperties>
</file>